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1">
      <w:pPr>
        <w:spacing w:after="0"/>
        <w:jc w:val="center"/>
        <w:rPr>
          <w:b/>
          <w:bCs/>
          <w:sz w:val="32"/>
          <w:szCs w:val="32"/>
        </w:rPr>
      </w:pPr>
      <w:r>
        <w:rPr>
          <w:b/>
          <w:bCs/>
          <w:sz w:val="32"/>
          <w:szCs w:val="32"/>
        </w:rPr>
        <w:drawing xmlns:mc="http://schemas.openxmlformats.org/markup-compatibility/2006">
          <wp:anchor allowOverlap="1" behindDoc="1" distT="0" distB="0" distL="114300" distR="114300" layoutInCell="1" locked="0" relativeHeight="251656704" simplePos="0">
            <wp:simplePos x="0" y="0"/>
            <wp:positionH relativeFrom="column">
              <wp:posOffset>-381000</wp:posOffset>
            </wp:positionH>
            <wp:positionV relativeFrom="paragraph">
              <wp:posOffset>-542925</wp:posOffset>
            </wp:positionV>
            <wp:extent cx="1491871" cy="1514475"/>
            <wp:effectExtent l="0" t="0" r="0" b="0"/>
            <wp:wrapNone/>
            <wp:docPr id="370431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31666" name="Picture 1"/>
                    <pic:cNvPicPr/>
                  </pic:nvPicPr>
                  <pic:blipFill>
                    <a:blip r:embed="rId8"/>
                    <a:srcRect/>
                    <a:stretch>
                      <a:fillRect/>
                    </a:stretch>
                  </pic:blipFill>
                  <pic:spPr>
                    <a:xfrm>
                      <a:off x="0" y="0"/>
                      <a:ext cx="1491871" cy="1514475"/>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rPr>
        <w:t>Town of Schroeppel</w:t>
      </w:r>
    </w:p>
    <w:p w14:paraId="00000002">
      <w:pPr>
        <w:spacing w:after="0"/>
        <w:jc w:val="center"/>
        <w:rPr>
          <w:b/>
          <w:bCs/>
          <w:sz w:val="28"/>
          <w:szCs w:val="28"/>
        </w:rPr>
      </w:pPr>
      <w:r>
        <w:rPr>
          <w:b/>
          <w:bCs/>
          <w:sz w:val="28"/>
          <w:szCs w:val="28"/>
        </w:rPr>
        <w:t>Planning Board Meeting</w:t>
      </w:r>
    </w:p>
    <w:p w14:paraId="00000003">
      <w:pPr>
        <w:spacing w:after="0"/>
        <w:jc w:val="center"/>
        <w:rPr>
          <w:b/>
          <w:bCs/>
          <w:sz w:val="28"/>
          <w:szCs w:val="28"/>
        </w:rPr>
      </w:pPr>
      <w:r>
        <w:rPr>
          <w:b/>
          <w:bCs/>
          <w:sz w:val="28"/>
          <w:szCs w:val="28"/>
        </w:rPr>
        <w:t>December 17, 2025</w:t>
      </w:r>
    </w:p>
    <w:p w14:paraId="00000004">
      <w:pPr>
        <w:pBdr>
          <w:bottom w:val="single" w:color="auto" w:sz="4" w:space="1"/>
        </w:pBdr>
        <w:spacing w:after="0"/>
        <w:jc w:val="center"/>
        <w:rPr>
          <w:b/>
          <w:bCs/>
        </w:rPr>
      </w:pPr>
    </w:p>
    <w:p w14:paraId="00000005">
      <w:pPr>
        <w:pBdr>
          <w:bottom w:val="single" w:color="auto" w:sz="4" w:space="1"/>
        </w:pBdr>
        <w:spacing w:after="0"/>
        <w:jc w:val="center"/>
        <w:rPr>
          <w:i/>
          <w:iCs/>
          <w:sz w:val="20"/>
          <w:szCs w:val="20"/>
        </w:rPr>
      </w:pPr>
      <w:r>
        <w:rPr>
          <w:i/>
          <w:iCs/>
          <w:sz w:val="20"/>
          <w:szCs w:val="20"/>
        </w:rPr>
        <w:t>Attendees: Don Clark, Chairman, Regina Drumm, Gordon Walts, Pete Stancampiano,</w:t>
      </w:r>
    </w:p>
    <w:p w14:paraId="00000006">
      <w:pPr>
        <w:pBdr>
          <w:bottom w:val="single" w:color="auto" w:sz="4" w:space="1"/>
        </w:pBdr>
        <w:spacing w:after="0"/>
        <w:jc w:val="center"/>
        <w:rPr>
          <w:i/>
          <w:iCs/>
          <w:sz w:val="20"/>
          <w:szCs w:val="20"/>
        </w:rPr>
      </w:pPr>
      <w:r>
        <w:rPr>
          <w:i/>
          <w:iCs/>
          <w:sz w:val="20"/>
          <w:szCs w:val="20"/>
        </w:rPr>
        <w:t>William MacDonald, Robert Loreman, Lee Goodman, Leslie Orman, Recording Secretary, Wendy Lougnot, Attorney, and Jeff Eaton, Attorneys, with CCF</w:t>
      </w:r>
    </w:p>
    <w:p w14:paraId="00000007">
      <w:pPr>
        <w:spacing w:after="0"/>
        <w:jc w:val="both"/>
        <w:rPr>
          <w:i/>
          <w:iCs/>
          <w:sz w:val="20"/>
          <w:szCs w:val="20"/>
        </w:rPr>
      </w:pPr>
    </w:p>
    <w:p w14:paraId="00000008">
      <w:pPr>
        <w:numPr>
          <w:ilvl w:val="0"/>
          <w:numId w:val="2"/>
        </w:numPr>
        <w:jc w:val="both"/>
        <w:rPr>
          <w:sz w:val="20"/>
          <w:szCs w:val="20"/>
        </w:rPr>
      </w:pPr>
      <w:r>
        <w:rPr>
          <w:sz w:val="20"/>
          <w:szCs w:val="20"/>
        </w:rPr>
        <w:t>Meeting called to order</w:t>
      </w:r>
    </w:p>
    <w:p w14:paraId="00000009">
      <w:pPr>
        <w:numPr>
          <w:ilvl w:val="0"/>
          <w:numId w:val="2"/>
        </w:numPr>
        <w:jc w:val="both"/>
        <w:rPr>
          <w:sz w:val="20"/>
          <w:szCs w:val="20"/>
        </w:rPr>
      </w:pPr>
      <w:r>
        <w:rPr>
          <w:sz w:val="20"/>
          <w:szCs w:val="20"/>
        </w:rPr>
        <w:t>Pledge of Allegiance</w:t>
      </w:r>
    </w:p>
    <w:p w14:paraId="0000000A">
      <w:pPr>
        <w:numPr>
          <w:ilvl w:val="0"/>
          <w:numId w:val="2"/>
        </w:numPr>
        <w:jc w:val="both"/>
        <w:rPr>
          <w:sz w:val="20"/>
          <w:szCs w:val="20"/>
        </w:rPr>
      </w:pPr>
      <w:r>
        <w:rPr>
          <w:sz w:val="20"/>
          <w:szCs w:val="20"/>
        </w:rPr>
        <w:t xml:space="preserve">Review and approval of meeting minutes from November 19, </w:t>
      </w:r>
      <w:r>
        <w:rPr>
          <w:sz w:val="20"/>
          <w:szCs w:val="20"/>
        </w:rPr>
        <w:t>2025</w:t>
      </w:r>
      <w:r>
        <w:rPr>
          <w:sz w:val="20"/>
          <w:szCs w:val="20"/>
        </w:rPr>
        <w:t xml:space="preserve"> Planning Board Meeting.</w:t>
      </w:r>
    </w:p>
    <w:p w14:paraId="0000000B">
      <w:pPr>
        <w:numPr>
          <w:ilvl w:val="1"/>
          <w:numId w:val="2"/>
        </w:numPr>
        <w:jc w:val="both"/>
        <w:rPr>
          <w:sz w:val="20"/>
          <w:szCs w:val="20"/>
        </w:rPr>
      </w:pPr>
      <w:r>
        <w:rPr>
          <w:sz w:val="20"/>
          <w:szCs w:val="20"/>
        </w:rPr>
        <w:t xml:space="preserve">On motion of R. Drumm, seconded by G. Walts the minutes of November 19, </w:t>
      </w:r>
      <w:r>
        <w:rPr>
          <w:sz w:val="20"/>
          <w:szCs w:val="20"/>
        </w:rPr>
        <w:t>2025</w:t>
      </w:r>
      <w:r>
        <w:rPr>
          <w:sz w:val="20"/>
          <w:szCs w:val="20"/>
        </w:rPr>
        <w:t xml:space="preserve"> were unanimously approved.</w:t>
      </w:r>
    </w:p>
    <w:p w14:paraId="0000000C">
      <w:pPr>
        <w:ind w:left="360"/>
        <w:jc w:val="both"/>
        <w:rPr>
          <w:sz w:val="20"/>
          <w:szCs w:val="20"/>
        </w:rPr>
      </w:pPr>
      <w:r>
        <w:rPr>
          <w:sz w:val="20"/>
          <w:szCs w:val="20"/>
        </w:rPr>
        <w:t>4.    Firebird Storage – Site Plan Approval Application</w:t>
      </w:r>
    </w:p>
    <w:p w14:paraId="0000000D">
      <w:pPr>
        <w:numPr>
          <w:ilvl w:val="1"/>
          <w:numId w:val="2"/>
        </w:numPr>
        <w:jc w:val="both"/>
        <w:rPr>
          <w:sz w:val="20"/>
          <w:szCs w:val="20"/>
        </w:rPr>
      </w:pPr>
      <w:r>
        <w:rPr>
          <w:sz w:val="20"/>
          <w:szCs w:val="20"/>
        </w:rPr>
        <w:t xml:space="preserve">Mike Lasell </w:t>
      </w:r>
      <w:r>
        <w:rPr>
          <w:sz w:val="20"/>
          <w:szCs w:val="20"/>
        </w:rPr>
        <w:t>representing</w:t>
      </w:r>
      <w:r>
        <w:rPr>
          <w:sz w:val="20"/>
          <w:szCs w:val="20"/>
        </w:rPr>
        <w:t xml:space="preserve"> Sean Cianfarano for this application.</w:t>
      </w:r>
    </w:p>
    <w:p w14:paraId="0000000E">
      <w:pPr>
        <w:numPr>
          <w:ilvl w:val="1"/>
          <w:numId w:val="2"/>
        </w:numPr>
        <w:jc w:val="both"/>
        <w:rPr>
          <w:sz w:val="20"/>
          <w:szCs w:val="20"/>
        </w:rPr>
      </w:pPr>
      <w:r>
        <w:rPr>
          <w:sz w:val="20"/>
          <w:szCs w:val="20"/>
        </w:rPr>
        <w:t>239 review required as presently agricultural lands.</w:t>
      </w:r>
    </w:p>
    <w:p w14:paraId="0000000F">
      <w:pPr>
        <w:numPr>
          <w:ilvl w:val="2"/>
          <w:numId w:val="2"/>
        </w:numPr>
        <w:jc w:val="both"/>
        <w:rPr>
          <w:sz w:val="20"/>
          <w:szCs w:val="20"/>
        </w:rPr>
      </w:pPr>
      <w:r>
        <w:rPr>
          <w:sz w:val="20"/>
          <w:szCs w:val="20"/>
        </w:rPr>
        <w:t>Application will need to be reviewed at January meeting once county approval is received.</w:t>
      </w:r>
    </w:p>
    <w:p w14:paraId="00000010">
      <w:pPr>
        <w:numPr>
          <w:ilvl w:val="1"/>
          <w:numId w:val="2"/>
        </w:numPr>
        <w:jc w:val="both"/>
        <w:rPr>
          <w:sz w:val="20"/>
          <w:szCs w:val="20"/>
        </w:rPr>
      </w:pPr>
      <w:r>
        <w:rPr>
          <w:sz w:val="20"/>
          <w:szCs w:val="20"/>
        </w:rPr>
        <w:t>Review and discussion of proposed facility.</w:t>
      </w:r>
    </w:p>
    <w:p w14:paraId="00000011">
      <w:pPr>
        <w:numPr>
          <w:ilvl w:val="1"/>
          <w:numId w:val="2"/>
        </w:numPr>
        <w:jc w:val="both"/>
        <w:rPr>
          <w:sz w:val="20"/>
          <w:szCs w:val="20"/>
        </w:rPr>
      </w:pPr>
      <w:r>
        <w:rPr>
          <w:sz w:val="20"/>
          <w:szCs w:val="20"/>
        </w:rPr>
        <w:t xml:space="preserve">Review of application and SEQR Review </w:t>
      </w:r>
    </w:p>
    <w:p w14:paraId="00000012">
      <w:pPr>
        <w:numPr>
          <w:ilvl w:val="2"/>
          <w:numId w:val="2"/>
        </w:numPr>
        <w:jc w:val="both"/>
        <w:rPr>
          <w:sz w:val="20"/>
          <w:szCs w:val="20"/>
        </w:rPr>
      </w:pPr>
      <w:r>
        <w:rPr>
          <w:color w:val="222222"/>
          <w:sz w:val="20"/>
          <w:szCs w:val="20"/>
          <w:highlight w:val="white"/>
        </w:rPr>
        <w:t xml:space="preserve">On motion of P. Stancampiano, seconded by L. </w:t>
      </w:r>
      <w:r>
        <w:rPr>
          <w:color w:val="222222"/>
          <w:sz w:val="20"/>
          <w:szCs w:val="20"/>
          <w:highlight w:val="white"/>
        </w:rPr>
        <w:t>Goodman</w:t>
      </w:r>
      <w:r>
        <w:rPr>
          <w:color w:val="222222"/>
          <w:sz w:val="20"/>
          <w:szCs w:val="20"/>
          <w:highlight w:val="white"/>
        </w:rPr>
        <w:t xml:space="preserve"> the Planning Board unanimously named itself as the Lead Agency of this Unlisted Action and adopted a negative declaration for purposes of SEQR.</w:t>
      </w:r>
      <w:r>
        <w:rPr>
          <w:color w:val="000000"/>
          <w:sz w:val="20"/>
          <w:szCs w:val="20"/>
        </w:rPr>
        <w:t xml:space="preserve"> </w:t>
      </w:r>
    </w:p>
    <w:p w14:paraId="00000013">
      <w:pPr>
        <w:tabs>
          <w:tab w:val="left" w:pos="764"/>
        </w:tabs>
        <w:ind w:left="384" w:hanging="384"/>
        <w:jc w:val="both"/>
        <w:rPr>
          <w:sz w:val="20"/>
          <w:szCs w:val="20"/>
        </w:rPr>
      </w:pPr>
      <w:r>
        <w:rPr>
          <w:sz w:val="20"/>
          <w:szCs w:val="20"/>
        </w:rPr>
        <w:t xml:space="preserve">        5.   Kersey Residence Solar Array - 25 Eagle View Terrace - Site Plan Approval.</w:t>
      </w:r>
    </w:p>
    <w:p w14:paraId="00000014">
      <w:pPr>
        <w:numPr>
          <w:ilvl w:val="0"/>
          <w:numId w:val="5"/>
        </w:numPr>
        <w:jc w:val="both"/>
        <w:rPr>
          <w:sz w:val="20"/>
          <w:szCs w:val="20"/>
        </w:rPr>
      </w:pPr>
      <w:r>
        <w:rPr>
          <w:sz w:val="20"/>
          <w:szCs w:val="20"/>
        </w:rPr>
        <w:t>All application fees are paid.</w:t>
      </w:r>
    </w:p>
    <w:p w14:paraId="00000015">
      <w:pPr>
        <w:numPr>
          <w:ilvl w:val="0"/>
          <w:numId w:val="5"/>
        </w:numPr>
        <w:tabs>
          <w:tab w:val="left" w:pos="764"/>
        </w:tabs>
        <w:jc w:val="both"/>
        <w:rPr>
          <w:sz w:val="20"/>
          <w:szCs w:val="20"/>
        </w:rPr>
      </w:pPr>
      <w:r>
        <w:rPr>
          <w:sz w:val="20"/>
          <w:szCs w:val="20"/>
        </w:rPr>
        <w:t xml:space="preserve">Side setback requirements for this residential zone </w:t>
      </w:r>
      <w:r>
        <w:rPr>
          <w:sz w:val="20"/>
          <w:szCs w:val="20"/>
        </w:rPr>
        <w:t>is</w:t>
      </w:r>
      <w:r>
        <w:rPr>
          <w:sz w:val="20"/>
          <w:szCs w:val="20"/>
        </w:rPr>
        <w:t xml:space="preserve"> 15 feet. This array meets these setback requirements.</w:t>
      </w:r>
    </w:p>
    <w:p w14:paraId="00000016">
      <w:pPr>
        <w:numPr>
          <w:ilvl w:val="0"/>
          <w:numId w:val="5"/>
        </w:numPr>
        <w:jc w:val="both"/>
        <w:rPr>
          <w:sz w:val="20"/>
          <w:szCs w:val="20"/>
        </w:rPr>
      </w:pPr>
      <w:r>
        <w:rPr>
          <w:sz w:val="20"/>
          <w:szCs w:val="20"/>
        </w:rPr>
        <w:t>Solar array is in a remote lot area and not visible from the street due to the lot configuration.</w:t>
      </w:r>
    </w:p>
    <w:p w14:paraId="00000017">
      <w:pPr>
        <w:numPr>
          <w:ilvl w:val="0"/>
          <w:numId w:val="5"/>
        </w:numPr>
        <w:jc w:val="both"/>
        <w:rPr>
          <w:sz w:val="20"/>
          <w:szCs w:val="20"/>
        </w:rPr>
      </w:pPr>
      <w:r>
        <w:rPr>
          <w:sz w:val="20"/>
          <w:szCs w:val="20"/>
        </w:rPr>
        <w:t>Public Hearing:</w:t>
      </w:r>
    </w:p>
    <w:p w14:paraId="00000018">
      <w:pPr>
        <w:numPr>
          <w:ilvl w:val="2"/>
          <w:numId w:val="6"/>
        </w:numPr>
        <w:jc w:val="both"/>
        <w:rPr>
          <w:sz w:val="20"/>
          <w:szCs w:val="20"/>
        </w:rPr>
      </w:pPr>
      <w:r>
        <w:rPr>
          <w:sz w:val="20"/>
          <w:szCs w:val="20"/>
        </w:rPr>
        <w:t xml:space="preserve">On </w:t>
      </w:r>
      <w:r>
        <w:rPr>
          <w:sz w:val="20"/>
          <w:szCs w:val="20"/>
        </w:rPr>
        <w:t xml:space="preserve">the </w:t>
      </w:r>
      <w:r>
        <w:rPr>
          <w:sz w:val="20"/>
          <w:szCs w:val="20"/>
        </w:rPr>
        <w:t xml:space="preserve">motion of G. Walts, seconded by R. Drumm the public hearing was opened. There were no objections. </w:t>
      </w:r>
    </w:p>
    <w:p w14:paraId="00000019">
      <w:pPr>
        <w:numPr>
          <w:ilvl w:val="2"/>
          <w:numId w:val="6"/>
        </w:numPr>
        <w:jc w:val="both"/>
        <w:rPr>
          <w:sz w:val="20"/>
          <w:szCs w:val="20"/>
        </w:rPr>
      </w:pPr>
      <w:r>
        <w:rPr>
          <w:sz w:val="20"/>
          <w:szCs w:val="20"/>
        </w:rPr>
        <w:t xml:space="preserve">On </w:t>
      </w:r>
      <w:r>
        <w:rPr>
          <w:sz w:val="20"/>
          <w:szCs w:val="20"/>
        </w:rPr>
        <w:t xml:space="preserve">the </w:t>
      </w:r>
      <w:r>
        <w:rPr>
          <w:sz w:val="20"/>
          <w:szCs w:val="20"/>
        </w:rPr>
        <w:t xml:space="preserve">motion of P. Stancampiano, seconded by R. </w:t>
      </w:r>
      <w:r>
        <w:rPr>
          <w:sz w:val="20"/>
          <w:szCs w:val="20"/>
        </w:rPr>
        <w:t>Loreman</w:t>
      </w:r>
      <w:r>
        <w:rPr>
          <w:sz w:val="20"/>
          <w:szCs w:val="20"/>
        </w:rPr>
        <w:t xml:space="preserve"> the Public Hearing was closed.</w:t>
      </w:r>
    </w:p>
    <w:p w14:paraId="0000001A">
      <w:pPr>
        <w:ind w:left="1238" w:hanging="169"/>
        <w:jc w:val="both"/>
        <w:rPr>
          <w:sz w:val="20"/>
          <w:szCs w:val="20"/>
        </w:rPr>
      </w:pPr>
      <w:r>
        <w:rPr>
          <w:sz w:val="20"/>
          <w:szCs w:val="20"/>
        </w:rPr>
        <w:t>d</w:t>
      </w:r>
      <w:r>
        <w:rPr>
          <w:sz w:val="20"/>
          <w:szCs w:val="20"/>
        </w:rPr>
        <w:t>. Review</w:t>
      </w:r>
      <w:r>
        <w:rPr>
          <w:sz w:val="20"/>
          <w:szCs w:val="20"/>
        </w:rPr>
        <w:t xml:space="preserve"> of application and SEQR. </w:t>
      </w:r>
    </w:p>
    <w:p w14:paraId="0000001B">
      <w:pPr>
        <w:numPr>
          <w:ilvl w:val="0"/>
          <w:numId w:val="13"/>
        </w:numPr>
        <w:jc w:val="both"/>
        <w:rPr>
          <w:color w:val="222222"/>
          <w:sz w:val="20"/>
          <w:szCs w:val="20"/>
          <w:highlight w:val="white"/>
        </w:rPr>
      </w:pPr>
      <w:r>
        <w:rPr>
          <w:color w:val="222222"/>
          <w:sz w:val="20"/>
          <w:szCs w:val="20"/>
          <w:highlight w:val="white"/>
        </w:rPr>
        <w:t xml:space="preserve"> On motion of R. Drumm, seconded by R. Loreman the Planning Board unanimously named itself as the Lead Agency of this Unlisted Action and adopted a negative declaration for purposes of SEQR.</w:t>
      </w:r>
      <w:r>
        <w:rPr>
          <w:color w:val="000000"/>
          <w:sz w:val="20"/>
          <w:szCs w:val="20"/>
        </w:rPr>
        <w:t xml:space="preserve"> </w:t>
      </w:r>
      <w:r>
        <w:rPr>
          <w:color w:val="222222"/>
          <w:sz w:val="20"/>
          <w:szCs w:val="20"/>
          <w:highlight w:val="white"/>
        </w:rPr>
        <w:t>Kersey Solar Site Plan and Special Use Permit.</w:t>
      </w:r>
    </w:p>
    <w:p w14:paraId="0000001C">
      <w:pPr>
        <w:numPr>
          <w:ilvl w:val="0"/>
          <w:numId w:val="13"/>
        </w:numPr>
        <w:jc w:val="both"/>
        <w:rPr>
          <w:sz w:val="20"/>
          <w:szCs w:val="20"/>
        </w:rPr>
      </w:pPr>
      <w:r>
        <w:rPr>
          <w:color w:val="222222"/>
          <w:sz w:val="20"/>
          <w:szCs w:val="20"/>
          <w:highlight w:val="white"/>
        </w:rPr>
        <w:t>Approval:  On motion of W. MacDonald, seconded by G. Walts, the Planning Board unanimously resolved to approve the Site Plan and Special Use Permit for the residential solar array as reflected on the Site Plan Drawings entitled “Solar Panel Installation Kersey Residence” prepared by Empire Solar, last revised September 12, 2025 subject to the following conditions: (1) Town Highway Department approve any driveways and (2) Oswego County Health Department must review and approve any septic system design</w:t>
      </w:r>
      <w:r>
        <w:rPr>
          <w:color w:val="000000"/>
          <w:sz w:val="20"/>
          <w:szCs w:val="20"/>
        </w:rPr>
        <w:t xml:space="preserve"> </w:t>
      </w:r>
    </w:p>
    <w:p w14:paraId="0000001D">
      <w:pPr>
        <w:numPr>
          <w:ilvl w:val="0"/>
          <w:numId w:val="2"/>
        </w:numPr>
        <w:jc w:val="both"/>
        <w:rPr>
          <w:sz w:val="20"/>
          <w:szCs w:val="20"/>
        </w:rPr>
      </w:pPr>
      <w:r>
        <w:rPr>
          <w:sz w:val="20"/>
          <w:szCs w:val="20"/>
        </w:rPr>
        <w:t>Nexamp Solar Farm Application, 71 Hoag Road:</w:t>
      </w:r>
    </w:p>
    <w:p w14:paraId="0000001E">
      <w:pPr>
        <w:numPr>
          <w:ilvl w:val="1"/>
          <w:numId w:val="2"/>
        </w:numPr>
        <w:jc w:val="both"/>
        <w:rPr>
          <w:sz w:val="20"/>
          <w:szCs w:val="20"/>
        </w:rPr>
      </w:pPr>
      <w:r>
        <w:rPr>
          <w:sz w:val="20"/>
          <w:szCs w:val="20"/>
        </w:rPr>
        <w:t>239 review is approved by Oswego County Planning as of 10.10.2025.</w:t>
      </w:r>
    </w:p>
    <w:p w14:paraId="0000001F">
      <w:pPr>
        <w:numPr>
          <w:ilvl w:val="1"/>
          <w:numId w:val="2"/>
        </w:numPr>
        <w:jc w:val="both"/>
        <w:rPr>
          <w:sz w:val="20"/>
          <w:szCs w:val="20"/>
        </w:rPr>
      </w:pPr>
      <w:r>
        <w:rPr>
          <w:sz w:val="20"/>
          <w:szCs w:val="20"/>
        </w:rPr>
        <w:t>USACOE Wetland classification –</w:t>
      </w:r>
      <w:r>
        <w:rPr>
          <w:sz w:val="20"/>
          <w:szCs w:val="20"/>
        </w:rPr>
        <w:t>N</w:t>
      </w:r>
      <w:r>
        <w:rPr>
          <w:sz w:val="20"/>
          <w:szCs w:val="20"/>
        </w:rPr>
        <w:t>on-jurisdictional</w:t>
      </w:r>
      <w:r>
        <w:rPr>
          <w:sz w:val="20"/>
          <w:szCs w:val="20"/>
        </w:rPr>
        <w:t xml:space="preserve"> determination</w:t>
      </w:r>
      <w:r>
        <w:rPr>
          <w:sz w:val="20"/>
          <w:szCs w:val="20"/>
        </w:rPr>
        <w:t xml:space="preserve"> was provided by the applicant to this board.</w:t>
      </w:r>
    </w:p>
    <w:p w14:paraId="00000020">
      <w:pPr>
        <w:numPr>
          <w:ilvl w:val="1"/>
          <w:numId w:val="2"/>
        </w:numPr>
        <w:jc w:val="both"/>
        <w:rPr>
          <w:sz w:val="20"/>
          <w:szCs w:val="20"/>
        </w:rPr>
      </w:pPr>
      <w:r>
        <w:rPr>
          <w:sz w:val="20"/>
          <w:szCs w:val="20"/>
        </w:rPr>
        <w:t xml:space="preserve">SEQRA Review is complete </w:t>
      </w:r>
      <w:r>
        <w:rPr>
          <w:sz w:val="20"/>
          <w:szCs w:val="20"/>
        </w:rPr>
        <w:t>at this time</w:t>
      </w:r>
      <w:r>
        <w:rPr>
          <w:sz w:val="20"/>
          <w:szCs w:val="20"/>
        </w:rPr>
        <w:t>.</w:t>
      </w:r>
    </w:p>
    <w:p w14:paraId="00000021">
      <w:pPr>
        <w:numPr>
          <w:ilvl w:val="2"/>
          <w:numId w:val="2"/>
        </w:numPr>
        <w:jc w:val="both"/>
        <w:rPr>
          <w:sz w:val="20"/>
          <w:szCs w:val="20"/>
        </w:rPr>
      </w:pPr>
      <w:r>
        <w:rPr>
          <w:sz w:val="20"/>
          <w:szCs w:val="20"/>
        </w:rPr>
        <w:t>See attached.</w:t>
      </w:r>
    </w:p>
    <w:p w14:paraId="00000022">
      <w:pPr>
        <w:numPr>
          <w:ilvl w:val="0"/>
          <w:numId w:val="2"/>
        </w:numPr>
        <w:jc w:val="both"/>
        <w:rPr>
          <w:sz w:val="20"/>
          <w:szCs w:val="20"/>
        </w:rPr>
      </w:pPr>
      <w:r>
        <w:rPr>
          <w:sz w:val="20"/>
          <w:szCs w:val="20"/>
        </w:rPr>
        <w:t>Organizational Meeting</w:t>
      </w:r>
    </w:p>
    <w:p w14:paraId="00000023">
      <w:pPr>
        <w:numPr>
          <w:ilvl w:val="1"/>
          <w:numId w:val="2"/>
        </w:numPr>
        <w:jc w:val="both"/>
        <w:rPr>
          <w:sz w:val="20"/>
          <w:szCs w:val="20"/>
        </w:rPr>
      </w:pPr>
      <w:r>
        <w:rPr>
          <w:sz w:val="20"/>
          <w:szCs w:val="20"/>
        </w:rPr>
        <w:t xml:space="preserve">Gordon Walts seat is up this year. </w:t>
      </w:r>
    </w:p>
    <w:p w14:paraId="00000024">
      <w:pPr>
        <w:numPr>
          <w:ilvl w:val="2"/>
          <w:numId w:val="2"/>
        </w:numPr>
        <w:jc w:val="both"/>
        <w:rPr>
          <w:sz w:val="20"/>
          <w:szCs w:val="20"/>
        </w:rPr>
      </w:pPr>
      <w:r>
        <w:rPr>
          <w:sz w:val="20"/>
          <w:szCs w:val="20"/>
        </w:rPr>
        <w:t xml:space="preserve">On motion of </w:t>
      </w:r>
      <w:r>
        <w:rPr>
          <w:sz w:val="20"/>
          <w:szCs w:val="20"/>
        </w:rPr>
        <w:t>P. Stancampiano</w:t>
      </w:r>
      <w:r>
        <w:rPr>
          <w:sz w:val="20"/>
          <w:szCs w:val="20"/>
        </w:rPr>
        <w:t>, seconded by R. Drumm, the board unanimously agreed that G. Walts will remain as Planning Board Member.</w:t>
      </w:r>
    </w:p>
    <w:p w14:paraId="00000025">
      <w:pPr>
        <w:numPr>
          <w:ilvl w:val="1"/>
          <w:numId w:val="2"/>
        </w:numPr>
        <w:jc w:val="both"/>
        <w:rPr>
          <w:sz w:val="20"/>
          <w:szCs w:val="20"/>
        </w:rPr>
      </w:pPr>
      <w:r>
        <w:rPr>
          <w:sz w:val="20"/>
          <w:szCs w:val="20"/>
        </w:rPr>
        <w:t>Planning Board Administration – Leslie Orman – Annual renewal</w:t>
      </w:r>
      <w:r>
        <w:rPr>
          <w:sz w:val="20"/>
          <w:szCs w:val="20"/>
        </w:rPr>
        <w:t>.</w:t>
      </w:r>
    </w:p>
    <w:p w14:paraId="00000026">
      <w:pPr>
        <w:numPr>
          <w:ilvl w:val="2"/>
          <w:numId w:val="2"/>
        </w:numPr>
        <w:jc w:val="both"/>
        <w:rPr>
          <w:sz w:val="20"/>
          <w:szCs w:val="20"/>
        </w:rPr>
      </w:pPr>
      <w:r>
        <w:rPr>
          <w:sz w:val="20"/>
          <w:szCs w:val="20"/>
        </w:rPr>
        <w:t>On motion of G. Walts, seconded by L. Goodman, the board unanimously agreed that L. Orman will remain as Recording Secretary.</w:t>
      </w:r>
    </w:p>
    <w:p w14:paraId="00000027">
      <w:pPr>
        <w:numPr>
          <w:ilvl w:val="1"/>
          <w:numId w:val="2"/>
        </w:numPr>
        <w:jc w:val="both"/>
        <w:rPr>
          <w:sz w:val="20"/>
          <w:szCs w:val="20"/>
        </w:rPr>
      </w:pPr>
      <w:r>
        <w:rPr>
          <w:sz w:val="20"/>
          <w:szCs w:val="20"/>
        </w:rPr>
        <w:t>Planning Board Alternate – Dave Mosher – Annual renewal</w:t>
      </w:r>
      <w:r>
        <w:rPr>
          <w:sz w:val="20"/>
          <w:szCs w:val="20"/>
        </w:rPr>
        <w:t>.</w:t>
      </w:r>
    </w:p>
    <w:p w14:paraId="00000028">
      <w:pPr>
        <w:numPr>
          <w:ilvl w:val="2"/>
          <w:numId w:val="2"/>
        </w:numPr>
        <w:jc w:val="both"/>
        <w:rPr>
          <w:sz w:val="20"/>
          <w:szCs w:val="20"/>
        </w:rPr>
      </w:pPr>
      <w:r>
        <w:rPr>
          <w:sz w:val="20"/>
          <w:szCs w:val="20"/>
        </w:rPr>
        <w:t xml:space="preserve">On motion of W. MacDonald, seconded by P. Stancampiano, the board unanimously agreed that </w:t>
      </w:r>
      <w:r>
        <w:rPr>
          <w:sz w:val="20"/>
          <w:szCs w:val="20"/>
        </w:rPr>
        <w:t xml:space="preserve">Dave Mosher </w:t>
      </w:r>
      <w:r>
        <w:rPr>
          <w:sz w:val="20"/>
          <w:szCs w:val="20"/>
        </w:rPr>
        <w:t>will remain as alternate Board Member.</w:t>
      </w:r>
    </w:p>
    <w:p w14:paraId="00000029">
      <w:pPr>
        <w:numPr>
          <w:ilvl w:val="1"/>
          <w:numId w:val="2"/>
        </w:numPr>
        <w:jc w:val="both"/>
        <w:rPr>
          <w:sz w:val="20"/>
          <w:szCs w:val="20"/>
        </w:rPr>
      </w:pPr>
      <w:r>
        <w:rPr>
          <w:sz w:val="20"/>
          <w:szCs w:val="20"/>
        </w:rPr>
        <w:t>Planning Board Legal Representation, Wendy Lougnot – CCF, Annual renewal</w:t>
      </w:r>
      <w:r>
        <w:rPr>
          <w:sz w:val="20"/>
          <w:szCs w:val="20"/>
        </w:rPr>
        <w:t>.</w:t>
      </w:r>
    </w:p>
    <w:p w14:paraId="0000002A">
      <w:pPr>
        <w:numPr>
          <w:ilvl w:val="2"/>
          <w:numId w:val="2"/>
        </w:numPr>
        <w:jc w:val="both"/>
        <w:rPr>
          <w:sz w:val="20"/>
          <w:szCs w:val="20"/>
        </w:rPr>
      </w:pPr>
      <w:r>
        <w:rPr>
          <w:sz w:val="20"/>
          <w:szCs w:val="20"/>
        </w:rPr>
        <w:t xml:space="preserve">On motion of R. Loreman, seconded by L. Goodman, the board unanimously agreed that W. Lougnot, Attorney, </w:t>
      </w:r>
      <w:r>
        <w:rPr>
          <w:sz w:val="20"/>
          <w:szCs w:val="20"/>
        </w:rPr>
        <w:t>CCF</w:t>
      </w:r>
      <w:r>
        <w:rPr>
          <w:sz w:val="20"/>
          <w:szCs w:val="20"/>
        </w:rPr>
        <w:t xml:space="preserve"> will remain as attorney for the Town of Schroeppel.</w:t>
      </w:r>
    </w:p>
    <w:p w14:paraId="0000002B">
      <w:pPr>
        <w:numPr>
          <w:ilvl w:val="1"/>
          <w:numId w:val="2"/>
        </w:numPr>
        <w:jc w:val="both"/>
        <w:rPr>
          <w:sz w:val="20"/>
          <w:szCs w:val="20"/>
        </w:rPr>
      </w:pPr>
      <w:r>
        <w:rPr>
          <w:sz w:val="20"/>
          <w:szCs w:val="20"/>
        </w:rPr>
        <w:t xml:space="preserve">Planning Board Chairman – Don Clark, Annual </w:t>
      </w:r>
      <w:r>
        <w:rPr>
          <w:sz w:val="20"/>
          <w:szCs w:val="20"/>
        </w:rPr>
        <w:t>r</w:t>
      </w:r>
      <w:r>
        <w:rPr>
          <w:sz w:val="20"/>
          <w:szCs w:val="20"/>
        </w:rPr>
        <w:t>enewal</w:t>
      </w:r>
      <w:r>
        <w:rPr>
          <w:sz w:val="20"/>
          <w:szCs w:val="20"/>
        </w:rPr>
        <w:t>.</w:t>
      </w:r>
    </w:p>
    <w:p w14:paraId="0000002C">
      <w:pPr>
        <w:numPr>
          <w:ilvl w:val="2"/>
          <w:numId w:val="2"/>
        </w:numPr>
        <w:jc w:val="both"/>
        <w:rPr>
          <w:sz w:val="20"/>
          <w:szCs w:val="20"/>
        </w:rPr>
      </w:pPr>
      <w:r>
        <w:rPr>
          <w:sz w:val="20"/>
          <w:szCs w:val="20"/>
        </w:rPr>
        <w:t>On motion of W. MacDonald, seconded by P. Stancampiano as chairman of the Town of Schroeppel Planning Board.</w:t>
      </w:r>
    </w:p>
    <w:p w14:paraId="0000002D">
      <w:pPr>
        <w:numPr>
          <w:ilvl w:val="1"/>
          <w:numId w:val="2"/>
        </w:numPr>
        <w:jc w:val="both"/>
        <w:rPr>
          <w:sz w:val="20"/>
          <w:szCs w:val="20"/>
        </w:rPr>
      </w:pPr>
      <w:r>
        <w:rPr>
          <w:sz w:val="20"/>
          <w:szCs w:val="20"/>
        </w:rPr>
        <w:t>Any alternative candidates to be considered?</w:t>
      </w:r>
    </w:p>
    <w:p w14:paraId="0000002E">
      <w:pPr>
        <w:numPr>
          <w:ilvl w:val="2"/>
          <w:numId w:val="2"/>
        </w:numPr>
        <w:jc w:val="both"/>
        <w:rPr>
          <w:sz w:val="20"/>
          <w:szCs w:val="20"/>
        </w:rPr>
      </w:pPr>
      <w:r>
        <w:rPr>
          <w:sz w:val="20"/>
          <w:szCs w:val="20"/>
        </w:rPr>
        <w:t>There were no alternative candidates</w:t>
      </w:r>
      <w:r>
        <w:rPr>
          <w:sz w:val="20"/>
          <w:szCs w:val="20"/>
        </w:rPr>
        <w:t xml:space="preserve"> presented for consideration</w:t>
      </w:r>
      <w:r>
        <w:rPr>
          <w:sz w:val="20"/>
          <w:szCs w:val="20"/>
        </w:rPr>
        <w:t>.</w:t>
      </w:r>
    </w:p>
    <w:p w14:paraId="0000002F">
      <w:pPr>
        <w:numPr>
          <w:ilvl w:val="2"/>
          <w:numId w:val="2"/>
        </w:numPr>
        <w:jc w:val="both"/>
        <w:rPr>
          <w:sz w:val="20"/>
          <w:szCs w:val="20"/>
        </w:rPr>
      </w:pPr>
      <w:r>
        <w:rPr>
          <w:sz w:val="20"/>
          <w:szCs w:val="20"/>
        </w:rPr>
        <w:t>Planning Board Compensation for 2026 is as follows:</w:t>
      </w:r>
    </w:p>
    <w:p w14:paraId="00000030">
      <w:pPr>
        <w:numPr>
          <w:ilvl w:val="3"/>
          <w:numId w:val="2"/>
        </w:numPr>
        <w:jc w:val="both"/>
        <w:rPr>
          <w:sz w:val="20"/>
          <w:szCs w:val="20"/>
        </w:rPr>
      </w:pPr>
      <w:r>
        <w:rPr>
          <w:sz w:val="20"/>
          <w:szCs w:val="20"/>
        </w:rPr>
        <w:t>Chairman - $375 per meeting.</w:t>
      </w:r>
    </w:p>
    <w:p w14:paraId="00000031">
      <w:pPr>
        <w:numPr>
          <w:ilvl w:val="3"/>
          <w:numId w:val="2"/>
        </w:numPr>
        <w:jc w:val="both"/>
        <w:rPr>
          <w:sz w:val="20"/>
          <w:szCs w:val="20"/>
        </w:rPr>
      </w:pPr>
      <w:r>
        <w:rPr>
          <w:sz w:val="20"/>
          <w:szCs w:val="20"/>
        </w:rPr>
        <w:t>Board members including administrator and alternate - $275 per meeting.</w:t>
      </w:r>
    </w:p>
    <w:p w14:paraId="00000032">
      <w:pPr>
        <w:numPr>
          <w:ilvl w:val="0"/>
          <w:numId w:val="2"/>
        </w:numPr>
        <w:jc w:val="both"/>
        <w:rPr>
          <w:sz w:val="20"/>
          <w:szCs w:val="20"/>
        </w:rPr>
      </w:pPr>
      <w:r>
        <w:rPr>
          <w:sz w:val="20"/>
          <w:szCs w:val="20"/>
        </w:rPr>
        <w:t>Motion to Adjourn.</w:t>
      </w:r>
    </w:p>
    <w:p w14:paraId="00000033">
      <w:pPr>
        <w:numPr>
          <w:ilvl w:val="1"/>
          <w:numId w:val="2"/>
        </w:numPr>
        <w:jc w:val="both"/>
        <w:rPr>
          <w:sz w:val="20"/>
          <w:szCs w:val="20"/>
        </w:rPr>
      </w:pPr>
      <w:r>
        <w:rPr>
          <w:sz w:val="20"/>
          <w:szCs w:val="20"/>
        </w:rPr>
        <w:t xml:space="preserve">On motion of P. Stancampiano, seconded by W. </w:t>
      </w:r>
      <w:r>
        <w:rPr>
          <w:sz w:val="20"/>
          <w:szCs w:val="20"/>
        </w:rPr>
        <w:t>MacDonald</w:t>
      </w:r>
      <w:r>
        <w:rPr>
          <w:sz w:val="20"/>
          <w:szCs w:val="20"/>
        </w:rPr>
        <w:t xml:space="preserve"> the meeting was adjourned.</w:t>
      </w:r>
    </w:p>
    <w:p w14:paraId="00000034">
      <w:pPr>
        <w:ind w:firstLine="720"/>
        <w:jc w:val="both"/>
        <w:rPr/>
      </w:pPr>
      <w:r>
        <w:tab/>
      </w:r>
    </w:p>
    <w:p w14:paraId="00000035"/>
    <w:sectPr>
      <w:headerReference w:type="default" r:id="rId9"/>
      <w:footerReference w:type="default" r:id="rId10"/>
      <w:pgSz w:w="11906" w:h="16838"/>
      <w:pgMar w:top="1170" w:right="1440" w:bottom="1260" w:left="1440" w:header="708" w:footer="708" w:gutter="0"/>
      <w:paperSrc w:first="1" w:other="1"/>
      <w:pgNumType w:fmt="decimal"/>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DengXian Light">
    <w:altName w:val="等线 Light"/>
    <w:charset w:val="86"/>
    <w:family w:val="auto"/>
    <w:pitch w:val="variable"/>
    <w:sig w:usb0="00000000" w:usb1="38cf7cfa" w:usb2="00000016" w:usb3="00000000" w:csb0="0004000f" w:csb1="00000000"/>
  </w:font>
  <w:font w:name="Times New Roman">
    <w:panose1 w:val="02020603050405020304"/>
    <w:charset w:val="00"/>
    <w:family w:val="roman"/>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37">
    <w:pPr>
      <w:spacing w:after="0" w:line="240" w:lineRule="auto"/>
      <w:jc w:val="right"/>
      <w:rPr/>
    </w:pPr>
    <w:r>
      <w:fldChar w:fldCharType="begin"/>
    </w:r>
    <w:r>
      <w:instrText xml:space="preserve">PAGE</w:instrText>
    </w:r>
    <w:r>
      <w:fldChar w:fldCharType="separate"/>
    </w:r>
    <w:r>
      <w:t>*</w:t>
    </w:r>
    <w:r>
      <w:fldChar w:fldCharType="end"/>
    </w:r>
  </w:p>
  <w:p w14:paraId="00000038">
    <w:pPr>
      <w:spacing w:after="0" w:line="240" w:lineRule="auto"/>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36">
    <w:pPr>
      <w:spacing w:after="0" w:line="240" w:lineRule="auto"/>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36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36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360"/>
      </w:pPr>
    </w:lvl>
  </w:abstractNum>
  <w:abstractNum w:abstractNumId="1">
    <w:multiLevelType w:val="hybridMultilevel"/>
    <w:lvl w:ilvl="0" w:tentative="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2">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3">
    <w:multiLevelType w:val="hybridMultilevel"/>
    <w:lvl w:ilvl="0" w:tentative="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multiLevelType w:val="hybridMultilevel"/>
    <w:lvl w:ilvl="0" w:tentative="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multiLevelType w:val="hybridMultilevel"/>
    <w:lvl w:ilvl="0" w:tentative="0">
      <w:start w:val="1"/>
      <w:numFmt w:val="decimal"/>
      <w:lvlText w:val="%1."/>
      <w:lvlJc w:val="left"/>
      <w:pPr>
        <w:ind w:left="720" w:hanging="360"/>
      </w:pPr>
    </w:lvl>
    <w:lvl w:ilvl="1" w:tentative="1">
      <w:start w:val="1"/>
      <w:numFmt w:val="lowerLetter"/>
      <w:lvlText w:val="%2."/>
      <w:lvlJc w:val="left"/>
      <w:pPr>
        <w:ind w:left="2160" w:hanging="360"/>
      </w:pPr>
    </w:lvl>
    <w:lvl w:ilvl="2" w:tentative="1">
      <w:start w:val="1"/>
      <w:numFmt w:val="lowerRoman"/>
      <w:lvlText w:val="%3."/>
      <w:lvlJc w:val="right"/>
      <w:pPr>
        <w:ind w:left="2880" w:hanging="36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36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360"/>
      </w:pPr>
    </w:lvl>
  </w:abstractNum>
  <w:abstractNum w:abstractNumId="6">
    <w:multiLevelType w:val="hybrid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upperRoman"/>
      <w:lvlText w:val="%3."/>
      <w:lvlJc w:val="right"/>
      <w:pPr>
        <w:ind w:left="2160" w:hanging="360"/>
      </w:pPr>
    </w:lvl>
    <w:lvl w:ilvl="3" w:tentative="0">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7">
    <w:multiLevelType w:val="hybridMultilevel"/>
    <w:lvl w:ilvl="0" w:tentative="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36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36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360"/>
      </w:pPr>
    </w:lvl>
  </w:abstractNum>
  <w:abstractNum w:abstractNumId="8">
    <w:multiLevelType w:val="hybridMultilevel"/>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1">
      <w:start w:val="1"/>
      <w:numFmt w:val="lowerRoman"/>
      <w:lvlText w:val="%3."/>
      <w:lvlJc w:val="right"/>
      <w:pPr>
        <w:ind w:left="2880" w:hanging="36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36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360"/>
      </w:pPr>
    </w:lvl>
  </w:abstractNum>
  <w:abstractNum w:abstractNumId="9">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10">
    <w:multiLevelType w:val="hybridMultilevel"/>
    <w:lvl w:ilvl="0" w:tentative="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11">
    <w:multiLevelType w:val="multilevel"/>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left"/>
      <w:pPr>
        <w:ind w:left="1800" w:hanging="36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left"/>
      <w:pPr>
        <w:ind w:left="3960" w:hanging="36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left"/>
      <w:pPr>
        <w:ind w:left="6120" w:hanging="360"/>
      </w:pPr>
    </w:lvl>
  </w:abstractNum>
  <w:abstractNum w:abstractNumId="12">
    <w:multiLevelType w:val="hybridMultilevel"/>
    <w:lvl w:ilvl="0" w:tentative="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36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36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360"/>
      </w:pPr>
    </w:lvl>
  </w:abstractNum>
  <w:abstractNum w:abstractNumId="13">
    <w:multiLevelType w:val="hybrid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360"/>
      </w:pPr>
    </w:lvl>
    <w:lvl w:ilvl="3" w:tentative="0">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14">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15">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16">
    <w:multiLevelType w:val="hybridMultilevel"/>
    <w:lvl w:ilvl="0" w:tentative="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17">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abstractNum w:abstractNumId="18">
    <w:multiLevelType w:val="hybridMultilevel"/>
    <w:lvl w:ilvl="0" w:tentative="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multiLevelType w:val="hybridMultilevel"/>
    <w:lvl w:ilvl="0" w:tentative="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7"/>
  </w:num>
  <w:num w:numId="2">
    <w:abstractNumId w:val="13"/>
  </w:num>
  <w:num w:numId="3">
    <w:abstractNumId w:val="11"/>
  </w:num>
  <w:num w:numId="4">
    <w:abstractNumId w:val="0"/>
  </w:num>
  <w:num w:numId="5">
    <w:abstractNumId w:val="8"/>
  </w:num>
  <w:num w:numId="6">
    <w:abstractNumId w:val="6"/>
  </w:num>
  <w:num w:numId="7">
    <w:abstractNumId w:val="10"/>
  </w:num>
  <w:num w:numId="8">
    <w:abstractNumId w:val="2"/>
  </w:num>
  <w:num w:numId="9">
    <w:abstractNumId w:val="5"/>
  </w:num>
  <w:num w:numId="10">
    <w:abstractNumId w:val="16"/>
  </w:num>
  <w:num w:numId="11">
    <w:abstractNumId w:val="14"/>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useWord2013TrackBottomHyphenation" w:uri="http://schemas.microsoft.com/office/word" w:val="1"/>
  </w:compat>
  <w:rsids>
    <w:rsidRoot w:val="00863517"/>
    <w:rsid w:val="00863517"/>
    <w:rsid w:val="00B20147"/>
    <w:rsid w:val="00E53AFD"/>
    <w:rsid w:val="00E879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3459"/>
  <w15:docId w15:val="{1534B0FA-D84C-4061-82E6-8E0CB491229F}"/>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lang w:val="en-US" w:bidi="ar-SA" w:eastAsia="en-US"/>
      </w:rPr>
    </w:rPrDefault>
    <w:pPrDefault>
      <w:pPr>
        <w:spacing w:after="200" w:line="276" w:lineRule="auto"/>
      </w:pPr>
    </w:pPrDefault>
  </w:docDefaults>
  <w:style w:type="paragraph" w:default="1" w:styleId="Normal">
    <w:name w:val="Normal"/>
    <w:uiPriority w:val="99"/>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footer" Target="footer1.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 Id="rId7" Type="http://schemas.openxmlformats.org/officeDocument/2006/relationships/theme" Target="theme/theme1.xml"/><Relationship Id="rId8" Type="http://schemas.openxmlformats.org/officeDocument/2006/relationships/image" Target="media/image2.png"/><Relationship Id="rId9" Type="http://schemas.openxmlformats.org/officeDocument/2006/relationships/header" Target="header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635</Words>
  <Characters>3364</Characters>
  <Application>Microsoft Office Word</Application>
  <DocSecurity>0</DocSecurity>
  <Lines>71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orman</dc:creator>
  <cp:lastModifiedBy>leslie orman</cp:lastModifiedBy>
</cp:coreProperties>
</file>